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LETTER OF INTENT</w:t>
      </w:r>
    </w:p>
    <w:p>
      <w:pPr>
        <w:jc w:val="center"/>
      </w:pPr>
      <w:r>
        <w:rPr>
          <w:i/>
          <w:sz w:val="24"/>
        </w:rPr>
        <w:t>Asset Purchase with Seller Financing — [TARGET BUSINESS NAME]</w:t>
      </w:r>
    </w:p>
    <w:p>
      <w:pPr>
        <w:pBdr>
          <w:bottom w:val="single" w:sz="6" w:space="1" w:color="auto"/>
        </w:pBdr>
      </w:pPr>
    </w:p>
    <w:p>
      <w:pPr>
        <w:spacing w:after="120"/>
      </w:pPr>
      <w:r/>
      <w:r>
        <w:rPr>
          <w:b/>
        </w:rPr>
        <w:t>Date:</w:t>
      </w:r>
      <w:r>
        <w:t xml:space="preserve"> [DATE]</w:t>
      </w:r>
    </w:p>
    <w:p>
      <w:pPr>
        <w:spacing w:after="120"/>
      </w:pPr>
      <w:r/>
      <w:r>
        <w:rPr>
          <w:b/>
        </w:rPr>
        <w:t>Buyer:</w:t>
      </w:r>
      <w:r>
        <w:t xml:space="preserve"> [BUYER ENTITY NAME]</w:t>
      </w:r>
    </w:p>
    <w:p>
      <w:pPr>
        <w:spacing w:after="120"/>
      </w:pPr>
      <w:r/>
      <w:r>
        <w:rPr>
          <w:b/>
        </w:rPr>
        <w:t>Seller:</w:t>
      </w:r>
      <w:r>
        <w:t xml:space="preserve"> [SELLER LEGAL ENTITY NAME]</w:t>
      </w:r>
    </w:p>
    <w:p>
      <w:pPr>
        <w:spacing w:after="120"/>
      </w:pPr>
      <w:r/>
      <w:r>
        <w:rPr>
          <w:b/>
        </w:rPr>
        <w:t>Target:</w:t>
      </w:r>
      <w:r>
        <w:t xml:space="preserve"> The business operated as [TARGET DBA]</w:t>
      </w:r>
    </w:p>
    <w:p>
      <w:pPr>
        <w:spacing w:after="120"/>
      </w:pPr>
      <w:r>
        <w:t>This LOI sets forth the principal terms under which Buyer proposes to acquire substantially all of the operating assets of the Business, with a portion of the consideration paid via a standby-compliant Seller Note. Sections marked "binding" in Section 11 are legally binding upon signature; all other sections are non-binding.</w:t>
      </w:r>
    </w:p>
    <w:p>
      <w:pPr>
        <w:spacing w:before="200" w:after="80"/>
      </w:pPr>
      <w:r>
        <w:rPr>
          <w:b/>
          <w:sz w:val="24"/>
        </w:rPr>
        <w:t>1. Transaction structure</w:t>
      </w:r>
    </w:p>
    <w:p>
      <w:pPr>
        <w:spacing w:after="120"/>
      </w:pPr>
      <w:r>
        <w:t>Asset purchase. Buyer acquires substantially all of the operating assets and assumes only specified liabilities, in accordance with the definitive Asset Purchase Agreement.</w:t>
      </w:r>
    </w:p>
    <w:p>
      <w:pPr>
        <w:spacing w:before="200" w:after="80"/>
      </w:pPr>
      <w:r>
        <w:rPr>
          <w:b/>
          <w:sz w:val="24"/>
        </w:rPr>
        <w:t>2. Purchase price &amp; consideration</w:t>
      </w:r>
    </w:p>
    <w:p>
      <w:pPr>
        <w:spacing w:after="120"/>
      </w:pPr>
      <w:r>
        <w:t xml:space="preserve">Aggregate Purchase Price: </w:t>
      </w:r>
      <w:r>
        <w:rPr>
          <w:b/>
        </w:rPr>
        <w:t>[$0,000,000]</w:t>
      </w:r>
      <w:r>
        <w:t>, on a cash-free, debt-free basis, payable at closing as follows:</w:t>
      </w:r>
    </w:p>
    <w:p>
      <w:pPr>
        <w:pStyle w:val="ListBullet"/>
      </w:pPr>
      <w:r>
        <w:t>Cash at closing (SBA 7(a) loan proceeds): [$0,000,000]</w:t>
      </w:r>
    </w:p>
    <w:p>
      <w:pPr>
        <w:pStyle w:val="ListBullet"/>
      </w:pPr>
      <w:r>
        <w:t>Buyer cash equity injection: [$0,000,000] (constitutes [at least 5%] of total project cost; required by SBA SOP)</w:t>
      </w:r>
    </w:p>
    <w:p>
      <w:pPr>
        <w:pStyle w:val="ListBullet"/>
      </w:pPr>
      <w:r>
        <w:t>Seller Note (per Section 3 below): [$0,000,000] (may constitute up to the second [5%] of equity injection if structured on full standby per SBA SOP)</w:t>
      </w:r>
    </w:p>
    <w:p>
      <w:pPr>
        <w:spacing w:before="200" w:after="80"/>
      </w:pPr>
      <w:r>
        <w:rPr>
          <w:b/>
          <w:sz w:val="24"/>
        </w:rPr>
        <w:t>3. Seller Note — standby terms</w:t>
      </w:r>
    </w:p>
    <w:p>
      <w:pPr>
        <w:spacing w:after="120"/>
      </w:pPr>
      <w:r>
        <w:t>At closing, Buyer will issue, and Seller will accept, a promissory note ("Seller Note") with the following principal terms:</w:t>
      </w:r>
    </w:p>
    <w:p>
      <w:pPr>
        <w:pStyle w:val="ListBullet"/>
      </w:pPr>
      <w:r>
        <w:t>Principal: [$0,000,000]</w:t>
      </w:r>
    </w:p>
    <w:p>
      <w:pPr>
        <w:pStyle w:val="ListBullet"/>
      </w:pPr>
      <w:r>
        <w:t>Interest rate: [%] per annum, computed on the outstanding principal</w:t>
      </w:r>
    </w:p>
    <w:p>
      <w:pPr>
        <w:pStyle w:val="ListBullet"/>
      </w:pPr>
      <w:r/>
      <w:r>
        <w:rPr>
          <w:b/>
        </w:rPr>
        <w:t>Standby period: No payments of principal or interest for twenty-four (24) months from the closing date.</w:t>
      </w:r>
      <w:r>
        <w:t xml:space="preserve"> During the standby period, accrued interest will be added to principal (negative-amortization accrual is acceptable to the SBA so long as no actual cash payments are made).</w:t>
      </w:r>
    </w:p>
    <w:p>
      <w:pPr>
        <w:pStyle w:val="ListBullet"/>
      </w:pPr>
      <w:r>
        <w:t>Following the 24-month standby period, the Seller Note will amortize over [months] in equal monthly payments of principal and interest, with a final balloon at maturity if applicable.</w:t>
      </w:r>
    </w:p>
    <w:p>
      <w:pPr>
        <w:pStyle w:val="ListBullet"/>
      </w:pPr>
      <w:r/>
      <w:r>
        <w:rPr>
          <w:b/>
        </w:rPr>
        <w:t>Subordination: The Seller Note is fully subordinated, in right of payment and lien position, to all indebtedness owed to Buyer's SBA 7(a) lender (the "Senior Lender").</w:t>
      </w:r>
      <w:r>
        <w:t xml:space="preserve"> The Seller will execute the Senior Lender's standard subordination and standby agreement at closing.</w:t>
      </w:r>
    </w:p>
    <w:p>
      <w:pPr>
        <w:pStyle w:val="ListBullet"/>
      </w:pPr>
      <w:r/>
      <w:r>
        <w:rPr>
          <w:b/>
        </w:rPr>
        <w:t>Acceleration restrictions:</w:t>
      </w:r>
      <w:r>
        <w:t xml:space="preserve"> Seller's remedies on default are limited as required by the SBA standby agreement. Seller may not accelerate, sue on, or enforce the Seller Note while the SBA loan is outstanding without the Senior Lender's written consent.</w:t>
      </w:r>
    </w:p>
    <w:p>
      <w:pPr>
        <w:pStyle w:val="ListBullet"/>
      </w:pPr>
      <w:r>
        <w:t>Prepayment: Buyer may prepay in whole or in part at any time after the standby period ends, without penalty.</w:t>
      </w:r>
    </w:p>
    <w:p>
      <w:pPr>
        <w:pStyle w:val="ListBullet"/>
      </w:pPr>
      <w:r>
        <w:t>Personal guaranty: [Buyer principal personally guarantees the Seller Note / no personal guaranty] — subject to Senior Lender approval.</w:t>
      </w:r>
    </w:p>
    <w:p>
      <w:pPr>
        <w:spacing w:before="200" w:after="80"/>
      </w:pPr>
      <w:r>
        <w:rPr>
          <w:b/>
          <w:sz w:val="24"/>
        </w:rPr>
        <w:t>4. Working-capital peg</w:t>
      </w:r>
    </w:p>
    <w:p>
      <w:pPr>
        <w:spacing w:after="120"/>
      </w:pPr>
      <w:r>
        <w:t>Same as standard Asset Purchase LOI — normalized peg of [$000,000], dollar-for-dollar adjustment.</w:t>
      </w:r>
    </w:p>
    <w:p>
      <w:pPr>
        <w:spacing w:before="200" w:after="80"/>
      </w:pPr>
      <w:r>
        <w:rPr>
          <w:b/>
          <w:sz w:val="24"/>
        </w:rPr>
        <w:t>5. Earnest money</w:t>
      </w:r>
    </w:p>
    <w:p>
      <w:pPr>
        <w:spacing w:after="120"/>
      </w:pPr>
      <w:r>
        <w:t>[$00,000] in escrow within five business days of LOI signing.</w:t>
      </w:r>
    </w:p>
    <w:p>
      <w:pPr>
        <w:spacing w:before="200" w:after="80"/>
      </w:pPr>
      <w:r>
        <w:rPr>
          <w:b/>
          <w:sz w:val="24"/>
        </w:rPr>
        <w:t>6. Diligence period</w:t>
      </w:r>
    </w:p>
    <w:p>
      <w:pPr>
        <w:spacing w:after="120"/>
      </w:pPr>
      <w:r>
        <w:t>Sixty (60) days from LOI signing.</w:t>
      </w:r>
    </w:p>
    <w:p>
      <w:pPr>
        <w:spacing w:before="200" w:after="80"/>
      </w:pPr>
      <w:r>
        <w:rPr>
          <w:b/>
          <w:sz w:val="24"/>
        </w:rPr>
        <w:t>7. Exclusivity</w:t>
      </w:r>
    </w:p>
    <w:p>
      <w:pPr>
        <w:spacing w:after="120"/>
      </w:pPr>
      <w:r>
        <w:t>Ninety (90) days from LOI signing or earlier termination.</w:t>
      </w:r>
    </w:p>
    <w:p>
      <w:pPr>
        <w:spacing w:before="200" w:after="80"/>
      </w:pPr>
      <w:r>
        <w:rPr>
          <w:b/>
          <w:sz w:val="24"/>
        </w:rPr>
        <w:t>8. Closing conditions</w:t>
      </w:r>
    </w:p>
    <w:p>
      <w:pPr>
        <w:pStyle w:val="ListBullet"/>
      </w:pPr>
      <w:r>
        <w:t>SBA 7(a) loan commitment, including written confirmation that the Seller Note structure is standby-compliant for SBA equity-injection purposes</w:t>
      </w:r>
    </w:p>
    <w:p>
      <w:pPr>
        <w:pStyle w:val="ListBullet"/>
      </w:pPr>
      <w:r>
        <w:t>Diligence to Buyer's satisfaction</w:t>
      </w:r>
    </w:p>
    <w:p>
      <w:pPr>
        <w:pStyle w:val="ListBullet"/>
      </w:pPr>
      <w:r>
        <w:t>Third-party consents</w:t>
      </w:r>
    </w:p>
    <w:p>
      <w:pPr>
        <w:pStyle w:val="ListBullet"/>
      </w:pPr>
      <w:r>
        <w:t>No material adverse change</w:t>
      </w:r>
    </w:p>
    <w:p>
      <w:pPr>
        <w:pStyle w:val="ListBullet"/>
      </w:pPr>
      <w:r>
        <w:t>Execution of definitive APA, Seller Note, subordination agreement, and ancillary docs</w:t>
      </w:r>
    </w:p>
    <w:p>
      <w:pPr>
        <w:spacing w:before="200" w:after="80"/>
      </w:pPr>
      <w:r>
        <w:rPr>
          <w:b/>
          <w:sz w:val="24"/>
        </w:rPr>
        <w:t>9. Confidentiality</w:t>
      </w:r>
    </w:p>
    <w:p>
      <w:pPr>
        <w:spacing w:after="120"/>
      </w:pPr>
      <w:r>
        <w:t>Mutual; binding on signature.</w:t>
      </w:r>
    </w:p>
    <w:p>
      <w:pPr>
        <w:spacing w:before="200" w:after="80"/>
      </w:pPr>
      <w:r>
        <w:rPr>
          <w:b/>
          <w:sz w:val="24"/>
        </w:rPr>
        <w:t>10. Definitive agreements</w:t>
      </w:r>
    </w:p>
    <w:p>
      <w:pPr>
        <w:spacing w:after="120"/>
      </w:pPr>
      <w:r>
        <w:t>The parties will negotiate in good faith to execute the APA, the Seller Note, a security agreement (if applicable), and the subordination/standby agreement required by the Senior Lender, within thirty (30) days of LOI signing.</w:t>
      </w:r>
    </w:p>
    <w:p>
      <w:pPr>
        <w:spacing w:before="200" w:after="80"/>
      </w:pPr>
      <w:r>
        <w:rPr>
          <w:b/>
          <w:sz w:val="24"/>
        </w:rPr>
        <w:t>11. Binding provisions</w:t>
      </w:r>
    </w:p>
    <w:p>
      <w:pPr>
        <w:spacing w:after="120"/>
      </w:pPr>
      <w:r>
        <w:t>Sections 5, 7, 9, 12, and 14 are binding upon signature; all other sections are non-binding.</w:t>
      </w:r>
    </w:p>
    <w:p>
      <w:pPr>
        <w:spacing w:before="200" w:after="80"/>
      </w:pPr>
      <w:r>
        <w:rPr>
          <w:b/>
          <w:sz w:val="24"/>
        </w:rPr>
        <w:t>12. Expenses</w:t>
      </w:r>
    </w:p>
    <w:p>
      <w:pPr>
        <w:spacing w:after="120"/>
      </w:pPr>
      <w:r>
        <w:t>Each party bears its own.</w:t>
      </w:r>
    </w:p>
    <w:p>
      <w:pPr>
        <w:spacing w:before="200" w:after="80"/>
      </w:pPr>
      <w:r>
        <w:rPr>
          <w:b/>
          <w:sz w:val="24"/>
        </w:rPr>
        <w:t>13. Public announcements</w:t>
      </w:r>
    </w:p>
    <w:p>
      <w:pPr>
        <w:spacing w:after="120"/>
      </w:pPr>
      <w:r>
        <w:t>No public announcement without the other party's prior written consent.</w:t>
      </w:r>
    </w:p>
    <w:p>
      <w:pPr>
        <w:spacing w:before="200" w:after="80"/>
      </w:pPr>
      <w:r>
        <w:rPr>
          <w:b/>
          <w:sz w:val="24"/>
        </w:rPr>
        <w:t>14. Governing law</w:t>
      </w:r>
    </w:p>
    <w:p>
      <w:pPr>
        <w:spacing w:after="120"/>
      </w:pPr>
      <w:r>
        <w:t>Laws of [STATE].</w:t>
      </w:r>
    </w:p>
    <w:p>
      <w:pPr>
        <w:pBdr>
          <w:bottom w:val="single" w:sz="6" w:space="1" w:color="auto"/>
        </w:pBdr>
      </w:pPr>
    </w:p>
    <w:p/>
    <w:p>
      <w:r>
        <w:rPr>
          <w:b/>
        </w:rPr>
        <w:t xml:space="preserve">BUYER: </w:t>
      </w:r>
      <w:r>
        <w:t>[BUYER ENTITY NAME]</w:t>
      </w:r>
    </w:p>
    <w:p>
      <w:r>
        <w:t>By: ______________________________</w:t>
      </w:r>
    </w:p>
    <w:p>
      <w:r>
        <w:t>Name:                  Title:                  Date:</w:t>
      </w:r>
    </w:p>
    <w:p/>
    <w:p>
      <w:r>
        <w:rPr>
          <w:b/>
        </w:rPr>
        <w:t xml:space="preserve">SELLER: </w:t>
      </w:r>
      <w:r>
        <w:t>[SELLER LEGAL ENTITY]</w:t>
      </w:r>
    </w:p>
    <w:p>
      <w:r>
        <w:t>By: ______________________________</w:t>
      </w:r>
    </w:p>
    <w:p>
      <w:r>
        <w:t>Name:                  Title:                  Date:</w:t>
      </w:r>
    </w:p>
    <w:p/>
    <w:p>
      <w:pPr>
        <w:pBdr>
          <w:bottom w:val="single" w:sz="6" w:space="1" w:color="auto"/>
        </w:pBdr>
      </w:pPr>
    </w:p>
    <w:p>
      <w:pPr>
        <w:spacing w:after="120"/>
      </w:pPr>
      <w:r>
        <w:t xml:space="preserve">_This template is a starting point for negotiation, not legal advice. SBA standby requirements are strictly interpreted; confirm with your Senior Lender that this Seller Note structure is acceptable </w:t>
      </w:r>
      <w:r>
        <w:rPr>
          <w:b/>
        </w:rPr>
        <w:t>before</w:t>
      </w:r>
      <w:r>
        <w:t xml:space="preserve"> signing this LOI._</w:t>
      </w:r>
    </w:p>
    <w:sectPr w:rsidR="00FC693F" w:rsidRPr="0006063C" w:rsidSect="00034616">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