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LETTER OF INTENT</w:t>
      </w:r>
    </w:p>
    <w:p>
      <w:pPr>
        <w:jc w:val="center"/>
      </w:pPr>
      <w:r>
        <w:rPr>
          <w:i/>
          <w:sz w:val="24"/>
        </w:rPr>
        <w:t>Asset Purchase with Earn-Out — [TARGET BUSINESS NAME]</w:t>
      </w:r>
    </w:p>
    <w:p>
      <w:pPr>
        <w:pBdr>
          <w:bottom w:val="single" w:sz="6" w:space="1" w:color="auto"/>
        </w:pBdr>
      </w:pPr>
    </w:p>
    <w:p>
      <w:pPr>
        <w:spacing w:after="120"/>
      </w:pPr>
      <w:r/>
      <w:r>
        <w:rPr>
          <w:b/>
        </w:rPr>
        <w:t>Date:</w:t>
      </w:r>
      <w:r>
        <w:t xml:space="preserve"> [DATE]</w:t>
      </w:r>
    </w:p>
    <w:p>
      <w:pPr>
        <w:spacing w:after="120"/>
      </w:pPr>
      <w:r/>
      <w:r>
        <w:rPr>
          <w:b/>
        </w:rPr>
        <w:t>Buyer:</w:t>
      </w:r>
      <w:r>
        <w:t xml:space="preserve"> [BUYER ENTITY NAME]</w:t>
      </w:r>
    </w:p>
    <w:p>
      <w:pPr>
        <w:spacing w:after="120"/>
      </w:pPr>
      <w:r/>
      <w:r>
        <w:rPr>
          <w:b/>
        </w:rPr>
        <w:t>Seller:</w:t>
      </w:r>
      <w:r>
        <w:t xml:space="preserve"> [SELLER LEGAL ENTITY NAME]</w:t>
      </w:r>
    </w:p>
    <w:p>
      <w:pPr>
        <w:spacing w:after="120"/>
      </w:pPr>
      <w:r/>
      <w:r>
        <w:rPr>
          <w:b/>
        </w:rPr>
        <w:t>Target:</w:t>
      </w:r>
      <w:r>
        <w:t xml:space="preserve"> The business operated as [TARGET DBA]</w:t>
      </w:r>
    </w:p>
    <w:p>
      <w:pPr>
        <w:spacing w:before="200" w:after="80"/>
      </w:pPr>
      <w:r>
        <w:rPr>
          <w:b/>
          <w:sz w:val="24"/>
        </w:rPr>
        <w:t>1. Transaction structure</w:t>
      </w:r>
    </w:p>
    <w:p>
      <w:pPr>
        <w:spacing w:after="120"/>
      </w:pPr>
      <w:r>
        <w:t>Asset purchase, with a contingent earn-out as set forth in Section 3.</w:t>
      </w:r>
    </w:p>
    <w:p>
      <w:pPr>
        <w:spacing w:before="200" w:after="80"/>
      </w:pPr>
      <w:r>
        <w:rPr>
          <w:b/>
          <w:sz w:val="24"/>
        </w:rPr>
        <w:t>2. Purchase price</w:t>
      </w:r>
    </w:p>
    <w:p>
      <w:pPr>
        <w:spacing w:after="120"/>
      </w:pPr>
      <w:r>
        <w:t>Aggregate consideration is comprised of (a) closing-date Purchase Price and (b) contingent earn-out payments:</w:t>
      </w:r>
    </w:p>
    <w:p>
      <w:pPr>
        <w:pStyle w:val="ListBullet"/>
      </w:pPr>
      <w:r/>
      <w:r>
        <w:rPr>
          <w:b/>
        </w:rPr>
        <w:t>Closing-date Purchase Price:</w:t>
      </w:r>
      <w:r>
        <w:t xml:space="preserve"> [$0,000,000], on a cash-free, debt-free basis, paid at closing</w:t>
      </w:r>
    </w:p>
    <w:p>
      <w:pPr>
        <w:pStyle w:val="ListBullet"/>
      </w:pPr>
      <w:r/>
      <w:r>
        <w:rPr>
          <w:b/>
        </w:rPr>
        <w:t>Earn-out:</w:t>
      </w:r>
      <w:r>
        <w:t xml:space="preserve"> Up to [$0,000,000] additional, payable as specified in Section 3</w:t>
      </w:r>
    </w:p>
    <w:p>
      <w:pPr>
        <w:pStyle w:val="ListBullet"/>
      </w:pPr>
      <w:r/>
      <w:r>
        <w:rPr>
          <w:b/>
        </w:rPr>
        <w:t>Maximum aggregate consideration:</w:t>
      </w:r>
      <w:r>
        <w:t xml:space="preserve"> [$0,000,000]</w:t>
      </w:r>
    </w:p>
    <w:p>
      <w:pPr>
        <w:spacing w:before="200" w:after="80"/>
      </w:pPr>
      <w:r>
        <w:rPr>
          <w:b/>
          <w:sz w:val="24"/>
        </w:rPr>
        <w:t>3. Earn-out terms</w:t>
      </w:r>
    </w:p>
    <w:p>
      <w:pPr>
        <w:spacing w:after="120"/>
      </w:pPr>
      <w:r/>
      <w:r>
        <w:rPr>
          <w:b/>
        </w:rPr>
        <w:t>Measurement period:</w:t>
      </w:r>
      <w:r>
        <w:t xml:space="preserve"> The Earn-Out will be measured over the [two/three] consecutive twelve-month periods immediately following the closing date (each, an "Earn-Out Year").</w:t>
      </w:r>
    </w:p>
    <w:p>
      <w:pPr>
        <w:spacing w:after="120"/>
      </w:pPr>
      <w:r/>
      <w:r>
        <w:rPr>
          <w:b/>
        </w:rPr>
        <w:t>Metric:</w:t>
      </w:r>
      <w:r>
        <w:t xml:space="preserve"> Earn-Out is based on [Revenue / Adjusted EBITDA] of the Business in each Earn-Out Year, computed in accordance with the closing-date accounting policies of the Business, frozen as of closing.</w:t>
      </w:r>
    </w:p>
    <w:p>
      <w:pPr>
        <w:spacing w:after="120"/>
      </w:pPr>
      <w:r/>
      <w:r>
        <w:rPr>
          <w:b/>
        </w:rPr>
        <w:t>Payment schedule:</w:t>
      </w:r>
      <w:r/>
    </w:p>
    <w:p>
      <w:pPr>
        <w:pStyle w:val="ListBullet"/>
      </w:pPr>
      <w:r>
        <w:t>If [Metric] in an Earn-Out Year &lt; [$ threshold 1]: no payment</w:t>
      </w:r>
    </w:p>
    <w:p>
      <w:pPr>
        <w:pStyle w:val="ListBullet"/>
      </w:pPr>
      <w:r>
        <w:t>If [Metric] in an Earn-Out Year ≥ [$ threshold 1] and &lt; [$ threshold 2]: pro-rata payment between zero and the year's full earn-out</w:t>
      </w:r>
    </w:p>
    <w:p>
      <w:pPr>
        <w:pStyle w:val="ListBullet"/>
      </w:pPr>
      <w:r>
        <w:t>If [Metric] in an Earn-Out Year ≥ [$ threshold 2]: full earn-out payment for that year</w:t>
      </w:r>
    </w:p>
    <w:p>
      <w:pPr>
        <w:pStyle w:val="ListBullet"/>
      </w:pPr>
      <w:r>
        <w:t>Earn-out payments per year capped at [$ amount]; aggregate cap of [$ amount]</w:t>
      </w:r>
    </w:p>
    <w:p>
      <w:pPr>
        <w:spacing w:after="120"/>
      </w:pPr>
      <w:r/>
      <w:r>
        <w:rPr>
          <w:b/>
        </w:rPr>
        <w:t>Catch-up:</w:t>
      </w:r>
      <w:r>
        <w:t xml:space="preserve"> If [Metric] in a later Earn-Out Year exceeds the cumulative target through that year, the seller may catch up on previously-missed payments.</w:t>
      </w:r>
    </w:p>
    <w:p>
      <w:pPr>
        <w:spacing w:after="120"/>
      </w:pPr>
      <w:r/>
      <w:r>
        <w:rPr>
          <w:b/>
        </w:rPr>
        <w:t>Operational covenants during the Earn-Out:</w:t>
      </w:r>
      <w:r/>
    </w:p>
    <w:p>
      <w:pPr>
        <w:pStyle w:val="ListBullet"/>
      </w:pPr>
      <w:r>
        <w:t>Buyer will operate the Business in a manner reasonably consistent with its operation prior to closing during the Earn-Out period, including maintaining the brand, sales channels, and core customer relationships.</w:t>
      </w:r>
    </w:p>
    <w:p>
      <w:pPr>
        <w:pStyle w:val="ListBullet"/>
      </w:pPr>
      <w:r>
        <w:t>Buyer will not (a) discontinue significant product lines that contribute to the Earn-Out Metric, (b) consolidate the Business with another buyer-owned operation in a manner that obscures the Earn-Out Metric, or (c) change accounting policies in a way that reduces the Earn-Out Metric, in each case without prior written consent of Seller (consent not to be unreasonably withheld).</w:t>
      </w:r>
    </w:p>
    <w:p>
      <w:pPr>
        <w:pStyle w:val="ListBullet"/>
      </w:pPr>
      <w:r>
        <w:t>Buyer is not obligated to operate the Business with the maximization of the Earn-Out as a goal; ordinary-course business decisions remain at Buyer's discretion.</w:t>
      </w:r>
    </w:p>
    <w:p>
      <w:pPr>
        <w:spacing w:after="120"/>
      </w:pPr>
      <w:r/>
      <w:r>
        <w:rPr>
          <w:b/>
        </w:rPr>
        <w:t>Reporting:</w:t>
      </w:r>
      <w:r>
        <w:t xml:space="preserve"> Within forty-five (45) days after each Earn-Out Year, Buyer will deliver to Seller a written statement of the Earn-Out Metric for that year, with reasonable supporting detail. Seller will have thirty (30) days to dispute the statement.</w:t>
      </w:r>
    </w:p>
    <w:p>
      <w:pPr>
        <w:spacing w:after="120"/>
      </w:pPr>
      <w:r/>
      <w:r>
        <w:rPr>
          <w:b/>
        </w:rPr>
        <w:t>Dispute resolution:</w:t>
      </w:r>
      <w:r>
        <w:t xml:space="preserve"> Disputes regarding the Earn-Out calculation will be submitted to a mutually-selected independent accounting firm (the "Independent Accountant"), whose determination will be final and binding. The Independent Accountant's fees will be split between the parties based on the proportion by which each party's position diverges from the determination.</w:t>
      </w:r>
    </w:p>
    <w:p>
      <w:pPr>
        <w:spacing w:before="200" w:after="80"/>
      </w:pPr>
      <w:r>
        <w:rPr>
          <w:b/>
          <w:sz w:val="24"/>
        </w:rPr>
        <w:t>4. Working-capital peg, earnest money, diligence, exclusivity</w:t>
      </w:r>
    </w:p>
    <w:p>
      <w:pPr>
        <w:spacing w:after="120"/>
      </w:pPr>
      <w:r>
        <w:t>Same as standard Asset Purchase LOI.</w:t>
      </w:r>
    </w:p>
    <w:p>
      <w:pPr>
        <w:spacing w:before="200" w:after="80"/>
      </w:pPr>
      <w:r>
        <w:rPr>
          <w:b/>
          <w:sz w:val="24"/>
        </w:rPr>
        <w:t>5. Closing conditions</w:t>
      </w:r>
    </w:p>
    <w:p>
      <w:pPr>
        <w:pStyle w:val="ListBullet"/>
      </w:pPr>
      <w:r>
        <w:t>SBA 7(a) loan commitment</w:t>
      </w:r>
    </w:p>
    <w:p>
      <w:pPr>
        <w:pStyle w:val="ListBullet"/>
      </w:pPr>
      <w:r>
        <w:t>Diligence to Buyer's satisfaction</w:t>
      </w:r>
    </w:p>
    <w:p>
      <w:pPr>
        <w:pStyle w:val="ListBullet"/>
      </w:pPr>
      <w:r>
        <w:t>Third-party consents</w:t>
      </w:r>
    </w:p>
    <w:p>
      <w:pPr>
        <w:pStyle w:val="ListBullet"/>
      </w:pPr>
      <w:r>
        <w:t>No material adverse change</w:t>
      </w:r>
    </w:p>
    <w:p>
      <w:pPr>
        <w:pStyle w:val="ListBullet"/>
      </w:pPr>
      <w:r>
        <w:t>Execution of definitive APA with detailed earn-out exhibit</w:t>
      </w:r>
    </w:p>
    <w:p>
      <w:pPr>
        <w:spacing w:before="200" w:after="80"/>
      </w:pPr>
      <w:r>
        <w:rPr>
          <w:b/>
          <w:sz w:val="24"/>
        </w:rPr>
        <w:t>6. Confidentiality, expenses, governing law</w:t>
      </w:r>
    </w:p>
    <w:p>
      <w:pPr>
        <w:spacing w:after="120"/>
      </w:pPr>
      <w:r>
        <w:t>Same as standard Asset Purchase LOI; confidentiality is binding on signature.</w:t>
      </w:r>
    </w:p>
    <w:p>
      <w:pPr>
        <w:spacing w:before="200" w:after="80"/>
      </w:pPr>
      <w:r>
        <w:rPr>
          <w:b/>
          <w:sz w:val="24"/>
        </w:rPr>
        <w:t>7. Binding provisions</w:t>
      </w:r>
    </w:p>
    <w:p>
      <w:pPr>
        <w:spacing w:after="120"/>
      </w:pPr>
      <w:r>
        <w:t>Earnest Money, Exclusivity, Confidentiality, Expenses, and Governing Law are binding upon signature. All other provisions are non-binding.</w:t>
      </w:r>
    </w:p>
    <w:p>
      <w:pPr>
        <w:pBdr>
          <w:bottom w:val="single" w:sz="6" w:space="1" w:color="auto"/>
        </w:pBdr>
      </w:pPr>
    </w:p>
    <w:p/>
    <w:p>
      <w:r>
        <w:rPr>
          <w:b/>
        </w:rPr>
        <w:t xml:space="preserve">BUYER: </w:t>
      </w:r>
      <w:r>
        <w:t>[BUYER ENTITY NAME]</w:t>
      </w:r>
    </w:p>
    <w:p>
      <w:r>
        <w:t>By: ______________________________</w:t>
      </w:r>
    </w:p>
    <w:p>
      <w:r>
        <w:t>Name:                  Title:                  Date:</w:t>
      </w:r>
    </w:p>
    <w:p/>
    <w:p>
      <w:r>
        <w:rPr>
          <w:b/>
        </w:rPr>
        <w:t xml:space="preserve">SELLER: </w:t>
      </w:r>
      <w:r>
        <w:t>[SELLER LEGAL ENTITY]</w:t>
      </w:r>
    </w:p>
    <w:p>
      <w:r>
        <w:t>By: ______________________________</w:t>
      </w:r>
    </w:p>
    <w:p>
      <w:r>
        <w:t>Name:                  Title:                  Date:</w:t>
      </w:r>
    </w:p>
    <w:p/>
    <w:p>
      <w:pPr>
        <w:pBdr>
          <w:bottom w:val="single" w:sz="6" w:space="1" w:color="auto"/>
        </w:pBdr>
      </w:pPr>
    </w:p>
    <w:p>
      <w:pPr>
        <w:spacing w:after="120"/>
      </w:pPr>
      <w:r>
        <w:t>_This template is a starting point for negotiation, not legal advice. Earn-outs generate more post-closing disputes than any other M&amp;A provision; have counsel scrutinize the metric definition, operational covenants, and dispute resolution mechanics carefully._</w:t>
      </w:r>
    </w:p>
    <w:sectPr w:rsidR="00FC693F" w:rsidRPr="0006063C" w:rsidSect="00034616">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