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LETTER OF INTENT</w:t>
      </w:r>
    </w:p>
    <w:p>
      <w:pPr>
        <w:jc w:val="center"/>
      </w:pPr>
      <w:r>
        <w:rPr>
          <w:i/>
          <w:sz w:val="24"/>
        </w:rPr>
        <w:t>Stock Purchase — [TARGET COMPANY NAME]</w:t>
      </w:r>
    </w:p>
    <w:p>
      <w:pPr>
        <w:pBdr>
          <w:bottom w:val="single" w:sz="6" w:space="1" w:color="auto"/>
        </w:pBdr>
      </w:pPr>
    </w:p>
    <w:p>
      <w:pPr>
        <w:spacing w:after="120"/>
      </w:pPr>
      <w:r/>
      <w:r>
        <w:rPr>
          <w:b/>
        </w:rPr>
        <w:t>Date:</w:t>
      </w:r>
      <w:r>
        <w:t xml:space="preserve"> [DATE]</w:t>
      </w:r>
    </w:p>
    <w:p>
      <w:pPr>
        <w:spacing w:after="120"/>
      </w:pPr>
      <w:r/>
      <w:r>
        <w:rPr>
          <w:b/>
        </w:rPr>
        <w:t>Buyer:</w:t>
      </w:r>
      <w:r>
        <w:t xml:space="preserve"> [BUYER ENTITY NAME] ("Buyer")</w:t>
      </w:r>
    </w:p>
    <w:p>
      <w:pPr>
        <w:spacing w:after="120"/>
      </w:pPr>
      <w:r/>
      <w:r>
        <w:rPr>
          <w:b/>
        </w:rPr>
        <w:t>Seller(s):</w:t>
      </w:r>
      <w:r>
        <w:t xml:space="preserve"> [ALL EQUITY HOLDERS] (collectively, "Sellers")</w:t>
      </w:r>
    </w:p>
    <w:p>
      <w:pPr>
        <w:spacing w:after="120"/>
      </w:pPr>
      <w:r/>
      <w:r>
        <w:rPr>
          <w:b/>
        </w:rPr>
        <w:t>Target:</w:t>
      </w:r>
      <w:r>
        <w:t xml:space="preserve"> [TARGET LEGAL ENTITY NAME], a [STATE] [ENTITY TYPE] (the "Company")</w:t>
      </w:r>
    </w:p>
    <w:p>
      <w:pPr>
        <w:spacing w:after="120"/>
      </w:pPr>
      <w:r>
        <w:t>This Letter of Intent ("LOI") sets forth the principal terms under which Buyer proposes to acquire 100% of the issued and outstanding equity of the Company from Sellers (the "Transaction"). Except as expressly set forth in Section 10 below, this LOI is not legally binding on either party.</w:t>
      </w:r>
    </w:p>
    <w:p>
      <w:pPr>
        <w:spacing w:before="200" w:after="80"/>
      </w:pPr>
      <w:r>
        <w:rPr>
          <w:b/>
          <w:sz w:val="24"/>
        </w:rPr>
        <w:t>1. Transaction structure</w:t>
      </w:r>
    </w:p>
    <w:p>
      <w:pPr>
        <w:spacing w:after="120"/>
      </w:pPr>
      <w:r>
        <w:t>Buyer will acquire 100% of the equity interests of the Company from Sellers. The Company will retain all of its assets, liabilities, contracts, licenses, and operating relationships, subject to the representations, warranties, and indemnification provisions in the definitive Stock Purchase Agreement ("SPA").</w:t>
      </w:r>
    </w:p>
    <w:p>
      <w:pPr>
        <w:spacing w:before="200" w:after="80"/>
      </w:pPr>
      <w:r>
        <w:rPr>
          <w:b/>
          <w:sz w:val="24"/>
        </w:rPr>
        <w:t>2. Purchase price</w:t>
      </w:r>
    </w:p>
    <w:p>
      <w:pPr>
        <w:spacing w:after="120"/>
      </w:pPr>
      <w:r>
        <w:t xml:space="preserve">The aggregate purchase price for 100% of the Company's equity ("Purchase Price") will be </w:t>
      </w:r>
      <w:r>
        <w:rPr>
          <w:b/>
        </w:rPr>
        <w:t>[$0,000,000]</w:t>
      </w:r>
      <w:r>
        <w:t>, paid as follows at closing:</w:t>
      </w:r>
    </w:p>
    <w:p>
      <w:pPr>
        <w:pStyle w:val="ListBullet"/>
      </w:pPr>
      <w:r>
        <w:t>Cash at closing: [$0,000,000] (financed in part through an SBA 7(a) loan)</w:t>
      </w:r>
    </w:p>
    <w:p>
      <w:pPr>
        <w:pStyle w:val="ListBullet"/>
      </w:pPr>
      <w:r>
        <w:t>Buyer equity injection: [$0,000,000]</w:t>
      </w:r>
    </w:p>
    <w:p>
      <w:pPr>
        <w:pStyle w:val="ListBullet"/>
      </w:pPr>
      <w:r>
        <w:t>Seller financing (if applicable): [$0,000,000]</w:t>
      </w:r>
    </w:p>
    <w:p>
      <w:pPr>
        <w:spacing w:after="120"/>
      </w:pPr>
      <w:r>
        <w:t xml:space="preserve">Purchase Price is on a </w:t>
      </w:r>
      <w:r>
        <w:rPr>
          <w:b/>
        </w:rPr>
        <w:t>cash-free, debt-free basis</w:t>
      </w:r>
      <w:r>
        <w:t>. Sellers will cause the Company to extract all cash and pay off all indebtedness for borrowed money prior to or at closing.</w:t>
      </w:r>
    </w:p>
    <w:p>
      <w:pPr>
        <w:spacing w:before="200" w:after="80"/>
      </w:pPr>
      <w:r>
        <w:rPr>
          <w:b/>
          <w:sz w:val="24"/>
        </w:rPr>
        <w:t>3. Working-capital peg</w:t>
      </w:r>
    </w:p>
    <w:p>
      <w:pPr>
        <w:spacing w:after="120"/>
      </w:pPr>
      <w:r>
        <w:t xml:space="preserve">Same as Asset Purchase: Purchase Price assumes delivery at a normalized working capital target of </w:t>
      </w:r>
      <w:r>
        <w:rPr>
          <w:b/>
        </w:rPr>
        <w:t>[$000,000]</w:t>
      </w:r>
      <w:r>
        <w:t>, with dollar-for-dollar adjustment up or down at closing.</w:t>
      </w:r>
    </w:p>
    <w:p>
      <w:pPr>
        <w:spacing w:before="200" w:after="80"/>
      </w:pPr>
      <w:r>
        <w:rPr>
          <w:b/>
          <w:sz w:val="24"/>
        </w:rPr>
        <w:t>4. Earnest money</w:t>
      </w:r>
    </w:p>
    <w:p>
      <w:pPr>
        <w:spacing w:after="120"/>
      </w:pPr>
      <w:r>
        <w:t xml:space="preserve">Buyer will deposit </w:t>
      </w:r>
      <w:r>
        <w:rPr>
          <w:b/>
        </w:rPr>
        <w:t>[$00,000]</w:t>
      </w:r>
      <w:r>
        <w:t xml:space="preserve"> in escrow within five (5) business days of LOI signing, refundable to Buyer if the Transaction does not close for any reason other than a material breach by Buyer.</w:t>
      </w:r>
    </w:p>
    <w:p>
      <w:pPr>
        <w:spacing w:before="200" w:after="80"/>
      </w:pPr>
      <w:r>
        <w:rPr>
          <w:b/>
          <w:sz w:val="24"/>
        </w:rPr>
        <w:t>5. Due diligence period</w:t>
      </w:r>
    </w:p>
    <w:p>
      <w:pPr>
        <w:spacing w:after="120"/>
      </w:pPr>
      <w:r>
        <w:t xml:space="preserve">Buyer will have </w:t>
      </w:r>
      <w:r>
        <w:rPr>
          <w:b/>
        </w:rPr>
        <w:t>ninety (90) days</w:t>
      </w:r>
      <w:r>
        <w:t xml:space="preserve"> from LOI signing to complete due diligence. Stock-purchase diligence is broader than asset-purchase diligence; in particular Buyer will conduct (a) a Quality of Earnings analysis, (b) a legal-and-litigation review of the Company, (c) a tax review including state tax exposure for the past seven years, (d) employment and HR diligence, and (e) IP and customer-contract review.</w:t>
      </w:r>
    </w:p>
    <w:p>
      <w:pPr>
        <w:spacing w:before="200" w:after="80"/>
      </w:pPr>
      <w:r>
        <w:rPr>
          <w:b/>
          <w:sz w:val="24"/>
        </w:rPr>
        <w:t>6. Exclusivity</w:t>
      </w:r>
    </w:p>
    <w:p>
      <w:pPr>
        <w:spacing w:after="120"/>
      </w:pPr>
      <w:r>
        <w:t>Same as Asset Purchase, with a 120-day Exclusivity Period to accommodate the longer diligence runway.</w:t>
      </w:r>
    </w:p>
    <w:p>
      <w:pPr>
        <w:spacing w:before="200" w:after="80"/>
      </w:pPr>
      <w:r>
        <w:rPr>
          <w:b/>
          <w:sz w:val="24"/>
        </w:rPr>
        <w:t>7. Representations, warranties, and indemnification</w:t>
      </w:r>
    </w:p>
    <w:p>
      <w:pPr>
        <w:spacing w:after="120"/>
      </w:pPr>
      <w:r>
        <w:t xml:space="preserve">The SPA will contain customary representations and warranties appropriate for a stock purchase, including specific reps regarding (a) absence of undisclosed liabilities, (b) compliance with law, (c) tax matters, (d) ERISA and benefit-plan compliance, (e) environmental matters, and (f) absence of material undisclosed contracts. Indemnification will be backed by an escrow holdback of </w:t>
      </w:r>
      <w:r>
        <w:rPr>
          <w:b/>
        </w:rPr>
        <w:t>[10–15%]</w:t>
      </w:r>
      <w:r>
        <w:t xml:space="preserve"> of the Purchase Price for a period of </w:t>
      </w:r>
      <w:r>
        <w:rPr>
          <w:b/>
        </w:rPr>
        <w:t>[18–24]</w:t>
      </w:r>
      <w:r>
        <w:t xml:space="preserve"> months, with customary survival periods, deductibles, and caps.</w:t>
      </w:r>
    </w:p>
    <w:p>
      <w:pPr>
        <w:spacing w:before="200" w:after="80"/>
      </w:pPr>
      <w:r>
        <w:rPr>
          <w:b/>
          <w:sz w:val="24"/>
        </w:rPr>
        <w:t>8. Closing conditions</w:t>
      </w:r>
    </w:p>
    <w:p>
      <w:pPr>
        <w:pStyle w:val="ListBullet"/>
      </w:pPr>
      <w:r>
        <w:t>Buyer's receipt of an SBA 7(a) loan commitment on terms reasonably acceptable to Buyer</w:t>
      </w:r>
    </w:p>
    <w:p>
      <w:pPr>
        <w:pStyle w:val="ListBullet"/>
      </w:pPr>
      <w:r>
        <w:t>Completion of due diligence to Buyer's reasonable satisfaction</w:t>
      </w:r>
    </w:p>
    <w:p>
      <w:pPr>
        <w:pStyle w:val="ListBullet"/>
      </w:pPr>
      <w:r>
        <w:t>Receipt of all required third-party consents, including any change-of-control consents</w:t>
      </w:r>
    </w:p>
    <w:p>
      <w:pPr>
        <w:pStyle w:val="ListBullet"/>
      </w:pPr>
      <w:r>
        <w:t>No material adverse change in the Business</w:t>
      </w:r>
    </w:p>
    <w:p>
      <w:pPr>
        <w:pStyle w:val="ListBullet"/>
      </w:pPr>
      <w:r>
        <w:t>Execution of definitive SPA, employment or transition agreements with key personnel, and customary escrow and disclosure schedules</w:t>
      </w:r>
    </w:p>
    <w:p>
      <w:pPr>
        <w:spacing w:before="200" w:after="80"/>
      </w:pPr>
      <w:r>
        <w:rPr>
          <w:b/>
          <w:sz w:val="24"/>
        </w:rPr>
        <w:t>9. Confidentiality</w:t>
      </w:r>
    </w:p>
    <w:p>
      <w:pPr>
        <w:spacing w:after="120"/>
      </w:pPr>
      <w:r>
        <w:t>Mutual; binding on signature.</w:t>
      </w:r>
    </w:p>
    <w:p>
      <w:pPr>
        <w:spacing w:before="200" w:after="80"/>
      </w:pPr>
      <w:r>
        <w:rPr>
          <w:b/>
          <w:sz w:val="24"/>
        </w:rPr>
        <w:t>10. Binding provisions</w:t>
      </w:r>
    </w:p>
    <w:p>
      <w:pPr>
        <w:spacing w:after="120"/>
      </w:pPr>
      <w:r>
        <w:t>Sections 4 (Earnest Money), 6 (Exclusivity), 9 (Confidentiality), 11 (Expenses), and 13 (Governing Law) are legally binding on the parties upon signature. All other provisions are non-binding statements of intent.</w:t>
      </w:r>
    </w:p>
    <w:p>
      <w:pPr>
        <w:spacing w:before="200" w:after="80"/>
      </w:pPr>
      <w:r>
        <w:rPr>
          <w:b/>
          <w:sz w:val="24"/>
        </w:rPr>
        <w:t>11. Expenses</w:t>
      </w:r>
    </w:p>
    <w:p>
      <w:pPr>
        <w:spacing w:after="120"/>
      </w:pPr>
      <w:r>
        <w:t>Each party will bear its own legal, accounting, and advisory fees, whether or not the Transaction closes.</w:t>
      </w:r>
    </w:p>
    <w:p>
      <w:pPr>
        <w:spacing w:before="200" w:after="80"/>
      </w:pPr>
      <w:r>
        <w:rPr>
          <w:b/>
          <w:sz w:val="24"/>
        </w:rPr>
        <w:t>12. Public announcements</w:t>
      </w:r>
    </w:p>
    <w:p>
      <w:pPr>
        <w:spacing w:after="120"/>
      </w:pPr>
      <w:r>
        <w:t>Neither party will make any public announcement regarding the Transaction without the prior written consent of the other party, except as required by law.</w:t>
      </w:r>
    </w:p>
    <w:p>
      <w:pPr>
        <w:spacing w:before="200" w:after="80"/>
      </w:pPr>
      <w:r>
        <w:rPr>
          <w:b/>
          <w:sz w:val="24"/>
        </w:rPr>
        <w:t>13. Governing law</w:t>
      </w:r>
    </w:p>
    <w:p>
      <w:pPr>
        <w:spacing w:after="120"/>
      </w:pPr>
      <w:r>
        <w:t>This LOI is governed by the laws of the State of [STATE].</w:t>
      </w:r>
    </w:p>
    <w:p>
      <w:pPr>
        <w:pBdr>
          <w:bottom w:val="single" w:sz="6" w:space="1" w:color="auto"/>
        </w:pBdr>
      </w:pPr>
    </w:p>
    <w:p/>
    <w:p>
      <w:r>
        <w:rPr>
          <w:b/>
        </w:rPr>
        <w:t xml:space="preserve">BUYER: </w:t>
      </w:r>
      <w:r>
        <w:t>[BUYER ENTITY NAME]</w:t>
      </w:r>
    </w:p>
    <w:p>
      <w:r>
        <w:t>By: ______________________________</w:t>
      </w:r>
    </w:p>
    <w:p>
      <w:r>
        <w:t>Name:                  Title:                  Date:</w:t>
      </w:r>
    </w:p>
    <w:p/>
    <w:p>
      <w:r>
        <w:rPr>
          <w:b/>
        </w:rPr>
        <w:t xml:space="preserve">SELLERS: </w:t>
      </w:r>
      <w:r>
        <w:t>[Each equity holder signs separately]</w:t>
      </w:r>
    </w:p>
    <w:p>
      <w:r>
        <w:t>By: ______________________________</w:t>
      </w:r>
    </w:p>
    <w:p>
      <w:r>
        <w:t>Name:                  Title:                  Date:</w:t>
      </w:r>
    </w:p>
    <w:p/>
    <w:p>
      <w:pPr>
        <w:pBdr>
          <w:bottom w:val="single" w:sz="6" w:space="1" w:color="auto"/>
        </w:pBdr>
      </w:pPr>
    </w:p>
    <w:p>
      <w:pPr>
        <w:spacing w:after="120"/>
      </w:pPr>
      <w:r>
        <w:t>_This template is a starting point for negotiation, not legal advice. Stock-purchase deals carry historical-liability risk; have counsel scrutinize representation, warranty, indemnification, and escrow language before sending to a counterparty._</w:t>
      </w:r>
    </w:p>
    <w:sectPr w:rsidR="00FC693F" w:rsidRPr="0006063C" w:rsidSect="00034616">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